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DF" w:rsidRDefault="009956DF" w:rsidP="009956D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9956DF" w:rsidRDefault="009956DF" w:rsidP="009956DF">
      <w:pPr>
        <w:rPr>
          <w:rFonts w:ascii="仿宋" w:eastAsia="仿宋" w:hAnsi="仿宋" w:hint="eastAsia"/>
          <w:sz w:val="32"/>
          <w:szCs w:val="32"/>
        </w:rPr>
      </w:pPr>
    </w:p>
    <w:p w:rsidR="009956DF" w:rsidRDefault="009956DF" w:rsidP="009956DF">
      <w:pPr>
        <w:spacing w:afterLines="50" w:after="156"/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sz w:val="44"/>
          <w:szCs w:val="44"/>
        </w:rPr>
        <w:t>南京大学学生学术科创赛事激励政策</w:t>
      </w:r>
    </w:p>
    <w:bookmarkEnd w:id="0"/>
    <w:p w:rsidR="009956DF" w:rsidRDefault="009956DF" w:rsidP="009956D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2015年3月26日，我校党政联席会通过了关于“挑战杯”等学生学术科创赛事的激励政策。有关内容如下：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1.将指导大学生课外学术科技创新活动纳入教师评价体系：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（1）教师指导学生获得“挑战杯”竞赛成绩可相应折算为教学工作量：获得全国特等奖可折算为72课时教学工作量，获得全国一等奖可折算为36课时教学工作量，获得全国二等奖可折算为18课时教学工作量；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（2）教师指导学生获得“挑战杯”竞赛成绩可在其职称晋升评聘时作为一项重要的教学评优参考指标；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（3）提高教师奖励业绩点，获得全国特等奖的业绩点为20，获得全国一等奖的业绩点为10，获得全国二等奖的业绩点为5。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2.参与大学生课外学术科技创新活动所取得的成绩，可作为学生考核和评价的重要参考指标：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（1）在升学上，给予获得“挑战杯”竞赛全国特等奖团队的前2位同学免试研究生绿色通道申报资格，给予获得全国一等奖团队的第1位同学免试研究生绿色通道申报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资格，给予获得全国二等奖以上团队的前5位同学推免学分绩分级加分奖励；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2）对拟录取我校硕士研究生的本科毕业生，或者是在读硕士研究生，其获奖可作为评奖评优的重要成果，可以优先推荐其提前攻读博士学位，实施硕博贯通个性化培养。同时，申报科研创新项目和国际学术交流项目时，同等条件下给以优先考虑。专业学位研究生如获奖，可同时记为2个实践课学分；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（3）在备赛过程中，给予创新团队必要的经费支持；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（4）分等级给予全国获奖团队一定的物质奖励。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3.“挑战杯”全国大学生课外学术科技作品竞赛专项奖，如累进创新金、银、铜奖，交叉创新一、二、三等奖，可分别对应低一等级全国奖项给予奖励；</w:t>
      </w:r>
    </w:p>
    <w:p w:rsidR="009956DF" w:rsidRDefault="009956DF" w:rsidP="009956DF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4.“创青春”全国大学生创业大赛的金、银、铜奖，参照“挑战杯”竞赛一、二、三等奖给予奖励，其专项赛则分别对应低一等级全国奖项给予奖励。</w:t>
      </w:r>
    </w:p>
    <w:p w:rsidR="009956DF" w:rsidRDefault="009956DF" w:rsidP="009956DF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4337F3" w:rsidRDefault="004337F3"/>
    <w:sectPr w:rsidR="0043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16"/>
    <w:rsid w:val="004337F3"/>
    <w:rsid w:val="00607716"/>
    <w:rsid w:val="0099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57FDF-06EF-4436-B966-684C6161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Lenovo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2017-03-06T09:11:00Z</dcterms:created>
  <dcterms:modified xsi:type="dcterms:W3CDTF">2017-03-06T09:12:00Z</dcterms:modified>
</cp:coreProperties>
</file>